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5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 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5"/>
        <w:ind w:left="453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09.04.2026  №89-НПА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5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15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2.5-2026-ПО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«Оказание услуг и (или) выполнение работ по ремонту, замене, модернизации лифтов, ремонту лифтовых шахт, машинных и блочных помещений»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left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15"/>
        <w:jc w:val="left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/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РКПО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mingkh@nso.ru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Оказание услуг и (или) выполнение работ по ремонту, замене, модернизации лифтов, ремонту лифтовых шахт, машинных и блочных помещений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2.5-2026-ПО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pStyle w:val="715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15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15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715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15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715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6946"/>
      </w:tblGrid>
      <w:tr>
        <w:tblPrEx/>
        <w:trPr>
          <w:trHeight w:val="458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4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Общие требования к выполнению работ (услуг) подрядной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Оказание услуг и (или) вып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олнение работ по ремонту, замене, модернизации лифтов, ремонту лифтовых шахт, машинных и блочных помещений (далее – работы) осуществляются на основании предоставленной заказчиком электронного аукциона (далее – Заказчик) исходно-разрешительной документации: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протокол общего собрания или решение органа местного самоуправления;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региональная программа капитального ремонта;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другая исходно-разрешительная документация, необходимая для выполнения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При производстве работ подрядная организация должна руководствоваться проектной документацией, законодательством Российской Федерации и производить работы в соответствии с требованиями действующих нормативных документов,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Градостроительный кодекс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Жилищный кодекс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Федеральный закон от 23.12.2009 № 384-ФЗ «Технический регламент о безопасности зданий и сооружений»;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Федеральный закон от 22.07.2008 № 123-ФЗ «Технический регламент о требованиях пожарной безопасности»;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Технический регламент Таможенного союза «Безопасность лифтов» (ТР ТС 011/2011, утвержденный Решением Комиссии Таможенного союза от 18.10.2011 №824);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ГОСТ Р 53780-2010 «Национальный стандарт Российской Федерации. Лифты. Общие требования безопасности к устройству и установке»;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ГОСТ Р 53782-2010. «Национальный стандарт Российской Федерации.Лифты. Правила и методы оценки соответствия лифтов при вводе в эксплуатацию»;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ГОСТ Р 53783-2010. «Национальный стандарт Российской Федерации. Лифты. Правила и методы оценки соответствия лифтов в период эксплуатации»;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СНиП 82-01-95 «Разработка и применение норм и нормативов расхода материальных ресурсов в строительстве. Основные положения»;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СП 68.13330.2017 «Приемка в эксплуатацию законченных строительством объектов.Основные положения. Актуализированная редакция СНиП 3.01.04-87»;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СП 48.13330.2019 «Свод правил. Организация строительства. СНиП 12-01-2004»;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Федеральный закон от 21.07.1997 №116-ФЗ «О промышленной безопасности опасных производственных объектов»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(ред. от 08.08.2024)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СНиП 12-03-2001 «Безопасность труда в строительстве. Часть 1. Общие требования»;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СНиП 12-04-2002 «Безопасность труда в строительстве. Часть 2. Строительное производство»;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Данный перечень норма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тивных правовых актов уточняется в документации об электронном аукционе в зависимости от состава работ, предусмотренных региональной программой капитального ремонта общего имущества в многоквартирных домах (далее – МКД) на территории Новосибирской области.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Основные требования к работам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соответствии с документацией об электронном аукционе.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организации и приемке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Работы проводятся в МКД без отселения проживающих, с соблюдением всех требований действующего законодательства. Приемка выполненных работ 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существляется согласно исполнительной документации, актов формы КС-2, КС-3, согласованных в соответствии с требованиями ст. 190 Жилищного кодекса Российской Федерации и других нормативно-правовых  документов, действующих на территории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Требование к календарному плану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Работы должны проводиться в соответствии с прилагаемым к договору о проведении капитального ремонта (далее- договор) календарным планом (графиком выполнения работ).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используемых в ходе работ материалов и оборудования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При производстве работ подрядная организация должна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использовать материалы, имеющие сертификаты качества (паспорта на материалы и оборудование). Качество используемых материалов должно соответствовать действующим ГОСТ, ТУ. Сроки эксплуатации оборудования - не менее указанных в паспорте завода изготовителя.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715"/>
              <w:spacing w:before="0"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 материалов и оборудования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715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1.Количественные и технические характеристики используемых материалов и оборудования – в соответствии с локальными сметами.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 В случае указания на товарные знаки применяемых материалов следует читать «или эквивалент» (при согласовании с Заказчиком).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715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vanish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0"/>
        <w:gridCol w:w="2409"/>
        <w:gridCol w:w="6976"/>
      </w:tblGrid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 Полная замена лифтового оборудования, признанного непригодным для эксплуатации.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Ремонт при необходимости шахт, замена приставных шахт.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 Ремонт машинных помещений.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 Ремонт, замена элементов автоматизации и диспетчеризация лифтового оборудования.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 Оборудование устройств, необходимых для подключения к действующим системам, автоматизация и диспетчеризация лифтового оборудования.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6. Пусконаладочные работы и техническое освидетельствование.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</w:t>
            </w:r>
            <w:hyperlink r:id="rId16" w:tooltip="http://www.mjkh.nso.ru/page/724." w:history="1">
              <w:r>
                <w:rPr>
                  <w:rStyle w:val="748"/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http://www.mjkh.nso.ru/page/724.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 Фиксированная. Определяется по итогам проведения электронного аукциона.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Не может превышать начальную (максимальную) цену договора, указанную в документации о проведении электронного аукциона и извещении о проведении электронного аукциона.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 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выполнения работ (услуг).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 Цена договора может быть снижена по соглашению сторон при уменьшении предусмотренных договором строительного подряда.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17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о проведении капитального ремонта МКД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 о проведении электронного аукциона, в случае, если при проведении электронного аукциона участником закупки, с которым заключается договор строительного подряда, предложена цена, которая на 20 и более процентов ниже начальной (максимальной) цены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требование к независимой гарантии может быть предъяв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строительного подряда и (или) в случае расторжения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строительного подряда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0"/>
        </w:trPr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Договор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ого ремонта общего имущества в МКД, подрядных организаций для оказания услуг и (или) выполнения работ по капитальному ремонту общего имуществ в МКД, утвержденном постановлением Правительства Российской Федерации от 1 июля 2016 г. № 615 (далее – Положение).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Порядок заключения договора определяется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1.Предмет договора, место проведения работ (услуг), сроки выполнения работ (услуг), продолжительность этапов выполнения работ (услуг), виды работ (услуг) не могут изменяться в ходе его исполнения, за исключением случаев, предусмотренных Положением.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2.При исполнении договора строительного подряда не допускается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еремена подрядной организации, за исключением случаев, если новая подрядная организация является правопреемником подрядной организации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Расторжение договора строительного подряда допускается: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по инициативе Заказчика, в том числе в виде одностороннего отказа от договора (основания такого расторжения устанавливаются в документации о проведении электронного аукциона);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по решению суда по основаниям, предусмотренным законодательством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Заказчик осуществляет расторжение договора в одностороннем порядке, в следующих случаях: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задержка подрядной организацией начала оказания услуг и (или) выполнения работ более чем на 10 (десять) календарных дней по причинам, не зависящим от заказчика или собственников помещений в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неоднократное (2 раза и более в течение одного календарного месяца) несоблюдение (отступление от требований, предусмотренных договор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ом о проведении капитального ремонта,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 законодательства Российской Федерации, лишающих права подрядной организации на производство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ж) нарушение срока замены независимой гарантии, установленного договором о проведении капитального ремонта, при отзыве лицензии, банкротстве или ликвидации гаранта более чем на 2 рабочих дня;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з) выявление заказчиком после заключения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оговора строительного подряда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и) неисполнение обязательства о продлении срока независимой гарантии при изменении сроков оказания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строительного подряда сроков оказания услуг и (или) выполнения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15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по предмету последующего электронного аукциона «Оказание услуг и (или) выполнение работ по ремонту, замене, модернизации лифтов, ремонту лифтовых шахт, машинных и блочных помещений»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саморегулируемой организации в области строительства, реконстру</w:t>
      </w:r>
      <w:r>
        <w:rPr>
          <w:rFonts w:ascii="Times New Roman" w:hAnsi="Times New Roman" w:eastAsia="Calibri" w:cs="Times New Roman"/>
          <w:sz w:val="24"/>
          <w:szCs w:val="24"/>
        </w:rPr>
        <w:t xml:space="preserve">кции, капитального ремонта объектов капитального строительства.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Участника за 3 года, предшествующие дате окончания срока подачи заявок на участие в предварительном отборе, контракта или договора по строительству, реконструкции и (или) капитальному ремонту объектов капитального строительства, относящ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ихся к той же группе работ,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 отсутствие конфликта интересов;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юридического лица – Участника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наличие в штате У</w:t>
      </w:r>
      <w:r>
        <w:rPr>
          <w:rFonts w:ascii="Times New Roman" w:hAnsi="Times New Roman" w:eastAsia="Calibri" w:cs="Times New Roman"/>
          <w:sz w:val="24"/>
          <w:szCs w:val="24"/>
        </w:rPr>
        <w:t xml:space="preserve">частника работников, соответствующих установленным пунктом 1 части 6 статьи 55.5 Градостроительного кодекса Российской Федерации квалификационным требованиям, в количестве, установленном в Приложении № 3 к Документации о проведении предварительного отбора,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 наличие в штате Участника по месту основной работы не менее одного работн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ика, ответственного за организацию производства работ по монтажу и пусконаладке технических устройств (систем вертикального транспорта) - лифтов, платформ подъемных для инвалидов, эскалаторов, пассажирских конвейеров, уровень квалификации которого соответс</w:t>
      </w:r>
      <w:r>
        <w:rPr>
          <w:rFonts w:ascii="Times New Roman" w:hAnsi="Times New Roman" w:eastAsia="Calibri" w:cs="Times New Roman"/>
          <w:sz w:val="24"/>
          <w:szCs w:val="24"/>
        </w:rPr>
        <w:t xml:space="preserve">твует уровню, установленному соответствующим профессиональным стандартом,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н) наличие у Участника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енее чем по 3 исполненным контрактам и (или) договорам, предметом которых являлись строительство, реконструкция, капитальный ремонт зданий, являющихся объектами капитального строительства, в том числе по договорам, заключенным в соответствии с Положением.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этом, минимальный размер стоимости оказанных услуг и (или) выполненных работ по указанным исполненным контракт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ам и (или) договорам установлен в Приложении № 5 к Документации о проведении предварительного отбора в размере не более 10 процентов предельного размера обязательств по договорам строительного подряда, в соответствии с которым Участником как членом саморег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о)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highlight w:val="none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highlight w:val="white"/>
        </w:rPr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15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V. 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ind w:firstLine="709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 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06.04.2011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индивидуальных предпринимателей или зас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предварительного отбора -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документов о государственной регистрации юрид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 на участие в предварительном отборе,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е)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штатно-списочный состав сотрудников (рекомендуется представлять в соответствии с формой, установленной в Приложении № 2 к Документации о проведении предварительного отбора);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копии трудовых книжек и (или) 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ведения о трудовой деятельности,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не менее 3 исполненных контрактов и (или) договоров, подтверждающих наличие у Участника предусмотренного подпунктом «п»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пункта 23 Положения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Приложении № 4 к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копии документов, подтверждающих соответствие уровня квалификации работника, у</w:t>
      </w:r>
      <w:r>
        <w:rPr>
          <w:rFonts w:ascii="Times New Roman" w:hAnsi="Times New Roman" w:eastAsia="Calibri" w:cs="Times New Roman"/>
          <w:sz w:val="24"/>
          <w:szCs w:val="24"/>
        </w:rPr>
        <w:t xml:space="preserve">казанного в подпункте "р" пункта 23 настоящего Положения, уровню, установленному соответствующим профессиональным стандартом, утвержденным федеральным органом исполнительной власти, осуществляющим функции по выработке и реализации государственной политики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 нормативно-правовому регулированию в сфере труда (в случае проведения предварительного отбора на включение в реестр квалифицированных подрядных организаций по предмету электронного аукциона, предусмотренному подпунктом "в" пункта 8 настоящего Положения);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15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м)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(рекомендуется представлять в соответствии с формой, установленной в Приложении № 6 к Документации 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15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06.04.2011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06.04.2011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142"/>
        <w:jc w:val="center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апреля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подписан,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06.04.2011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ind w:left="360"/>
        <w:jc w:val="center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numPr>
          <w:ilvl w:val="0"/>
          <w:numId w:val="1"/>
        </w:numPr>
        <w:ind w:left="142" w:firstLine="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РКПО в течение 2 (двух) рабочих дней с даты принятия решения, указанного в подпункте «а» пункта 2.6 настоящего раздела, включает информацию об Участнике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нформация о принятом решении, указанном в пункте 3.1 и 3.2 настоящего раздела, размещается Органом по ведению РКП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решения,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Заявок, номер предварительного отбора, 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именование (для юридического лица), информация об источнике размещения Заявок,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мы Положения, которым не соответствует Участник предварительного отбора, а также на положения Извещения и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в протоколе указывается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протоколе указывается предельный размер обязательств участника предварительного отбора по обязательствам по договорам строительного подряда,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18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715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715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numPr>
          <w:ilvl w:val="0"/>
          <w:numId w:val="2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. Документации о проведении предварительного отбора)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418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715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организационно-правовая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15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15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5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715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15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15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«Сведения о включении в реестр специалистов в области строительства)»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firstLine="709"/>
        <w:jc w:val="right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 3</w:t>
      </w:r>
      <w:r/>
    </w:p>
    <w:p>
      <w:pPr>
        <w:pStyle w:val="715"/>
        <w:ind w:firstLine="709"/>
        <w:jc w:val="right"/>
        <w:spacing w:before="0" w:after="0" w:line="240" w:lineRule="auto"/>
      </w:pPr>
      <w:r/>
      <w:r/>
    </w:p>
    <w:p>
      <w:pPr>
        <w:pStyle w:val="715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специалистов/наличие свидетельства квалификации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715"/>
              <w:spacing w:before="0" w:after="16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юридического лица – специалист по организации строительства (главный инженер проектов)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15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строительства.</w:t>
            </w:r>
            <w:r/>
          </w:p>
          <w:p>
            <w:pPr>
              <w:pStyle w:val="715"/>
              <w:jc w:val="both"/>
              <w:spacing w:before="0" w:after="0" w:line="240" w:lineRule="auto"/>
            </w:pPr>
            <w:r/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1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-Специалист по организации монтажа лифтов, платформ подъемных для инвалидов, эскалаторов (6 уровень квалификации),</w:t>
            </w:r>
            <w:r/>
          </w:p>
          <w:p>
            <w:pPr>
              <w:pStyle w:val="715"/>
              <w:jc w:val="both"/>
              <w:spacing w:before="240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 Технический директор специализированной организации по монтажу систем вертикального транспорта (лифтов, платформ подъемных для инвалидов, эскалаторов) (6 уровень квалификации).</w:t>
            </w:r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по организации монтажа электрических подъемников, лифтов, платформ подъемных для инвалидов, эскалаторов, пассажирских конвейеров</w:t>
            </w:r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трех лет в области монтажа, пусконаладки, реконструкции и эксплуатации систем вертикального транспорта и/или подъемных сооружений,</w:t>
            </w:r>
            <w:r/>
          </w:p>
          <w:p>
            <w:pPr>
              <w:pStyle w:val="715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строительства</w:t>
            </w:r>
            <w:r/>
          </w:p>
          <w:p>
            <w:pPr>
              <w:pStyle w:val="715"/>
              <w:spacing w:before="0" w:after="0" w:line="240" w:lineRule="auto"/>
            </w:pPr>
            <w:r/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действующего свидетельства о квалификации, выданного в соответствии с требованиями Федерального </w:t>
            </w:r>
            <w:hyperlink r:id="rId19" w:tooltip="consultantplus://offline/ref=ED0885B7CA7D9EA78E3F0C8B65A29D940715C18072FB617C8CE278D6AA9E98DFDD6864CFD41AE8EB3B595BB11EIDZFK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закона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 июля 2016 года N 238-ФЗ "О независимой оценке квалификации",</w:t>
            </w:r>
            <w:r/>
          </w:p>
          <w:p>
            <w:pPr>
              <w:pStyle w:val="715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сайте АНО НАРК.</w:t>
            </w:r>
            <w:r/>
          </w:p>
          <w:p>
            <w:pPr>
              <w:pStyle w:val="715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свидетельства о квалификации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- 3года</w:t>
            </w:r>
            <w:r>
              <w:rPr>
                <w:rFonts w:ascii="Times New Roman" w:hAnsi="Times New Roman" w:eastAsia="Calibri" w:cs="Times New Roman"/>
                <w:highlight w:val="none"/>
              </w:rPr>
            </w:r>
          </w:p>
        </w:tc>
      </w:tr>
    </w:tbl>
    <w:p>
      <w:pPr>
        <w:pStyle w:val="715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br w:type="page" w:clear="all"/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56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6"/>
        <w:gridCol w:w="2593"/>
        <w:gridCol w:w="2786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0"/>
          <w:headerReference w:type="first" r:id="rId11"/>
          <w:footnotePr/>
          <w:endnotePr/>
          <w:type w:val="nextPage"/>
          <w:pgSz w:w="16838" w:h="11906" w:orient="landscape"/>
          <w:pgMar w:top="1418" w:right="1134" w:bottom="567" w:left="1134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5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МИНИМАЛЬНЫЙ РАЗМЕР СТОИМОСТИ ОКАЗАННЫХ УСЛУГ И (ИЛИ) ВЫПОЛНЕННЫХ РАБОТ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949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5318"/>
        <w:gridCol w:w="3613"/>
      </w:tblGrid>
      <w:tr>
        <w:tblPrEx/>
        <w:trPr>
          <w:trHeight w:val="3552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Предельный размер обязательств по договорам строительного подряда, в соответствии с которым Участником как членом саморе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Минимальный размер стоимости оказанных услуг и (или) выполненных работ по исполненным контрактам и (или) договорам*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613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77"/>
              <w:jc w:val="left"/>
              <w:spacing w:before="0" w:after="0"/>
              <w:widowControl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bidi="ar-SA"/>
              </w:rPr>
              <w:t xml:space="preserve">не превышает 90 миллионов рублей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pStyle w:val="777"/>
              <w:jc w:val="left"/>
              <w:spacing w:before="0" w:after="0"/>
              <w:widowControl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 w:bidi="ar-SA"/>
              </w:rPr>
              <w:t xml:space="preserve">(первый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500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(второй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3 миллиарда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(третий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restart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10 миллиардов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(четвертый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15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составляет 10 миллиардов рублей и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(пятый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715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715"/>
        <w:ind w:firstLine="54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1906" w:h="16838" w:orient="portrait"/>
          <w:pgMar w:top="1134" w:right="567" w:bottom="1134" w:left="1418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15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715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71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71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</w:p>
    <w:p>
      <w:pPr>
        <w:pStyle w:val="715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pStyle w:val="71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</w:p>
    <w:p>
      <w:pPr>
        <w:pStyle w:val="71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7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71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</w:p>
    <w:p>
      <w:pPr>
        <w:pStyle w:val="715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</w:p>
    <w:p>
      <w:pPr>
        <w:pStyle w:val="715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15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</w:p>
    <w:p>
      <w:pPr>
        <w:pStyle w:val="715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715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15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15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15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15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5"/>
      </w:pPr>
      <w:r/>
      <w:r/>
    </w:p>
    <w:p>
      <w:pPr>
        <w:pStyle w:val="715"/>
      </w:pPr>
      <w:r/>
      <w:r/>
    </w:p>
    <w:p>
      <w:pPr>
        <w:pStyle w:val="715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</w:p>
    <w:p>
      <w:pPr>
        <w:pStyle w:val="715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15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sectPr>
      <w:headerReference w:type="default" r:id="rId14"/>
      <w:footnotePr/>
      <w:endnotePr/>
      <w:type w:val="nextPage"/>
      <w:pgSz w:w="11906" w:h="16838" w:orient="portrait"/>
      <w:pgMar w:top="1134" w:right="567" w:bottom="1134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Sans Serif">
    <w:panose1 w:val="02000603000000000000"/>
  </w:font>
  <w:font w:name="Times New Roman">
    <w:panose1 w:val="02020603050405020304"/>
  </w:font>
  <w:font w:name="Microsoft YaHei">
    <w:panose1 w:val="020B0503020203020204"/>
  </w:font>
  <w:font w:name="Mangal">
    <w:panose1 w:val="02040503050406030204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17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796"/>
    </w:pPr>
    <w:r/>
    <w:r/>
  </w:p>
  <w:p>
    <w:pPr>
      <w:pStyle w:val="79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22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796"/>
    </w:pPr>
    <w:r/>
    <w:r/>
  </w:p>
  <w:p>
    <w:pPr>
      <w:pStyle w:val="79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25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79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92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15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16">
    <w:name w:val="Heading 1"/>
    <w:basedOn w:val="71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7">
    <w:name w:val="Heading 2"/>
    <w:basedOn w:val="7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8">
    <w:name w:val="Heading 3"/>
    <w:basedOn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9">
    <w:name w:val="Heading 4"/>
    <w:basedOn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0">
    <w:name w:val="Heading 5"/>
    <w:basedOn w:val="7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1">
    <w:name w:val="Heading 6"/>
    <w:basedOn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7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>
    <w:name w:val="Heading 1 Char"/>
    <w:basedOn w:val="747"/>
    <w:uiPriority w:val="9"/>
    <w:qFormat/>
    <w:rPr>
      <w:rFonts w:ascii="Arial" w:hAnsi="Arial" w:eastAsia="Arial" w:cs="Arial"/>
      <w:sz w:val="40"/>
      <w:szCs w:val="40"/>
    </w:rPr>
  </w:style>
  <w:style w:type="character" w:styleId="726">
    <w:name w:val="Heading 2 Char"/>
    <w:basedOn w:val="747"/>
    <w:uiPriority w:val="9"/>
    <w:qFormat/>
    <w:rPr>
      <w:rFonts w:ascii="Arial" w:hAnsi="Arial" w:eastAsia="Arial" w:cs="Arial"/>
      <w:sz w:val="34"/>
    </w:rPr>
  </w:style>
  <w:style w:type="character" w:styleId="727">
    <w:name w:val="Heading 3 Char"/>
    <w:basedOn w:val="747"/>
    <w:uiPriority w:val="9"/>
    <w:qFormat/>
    <w:rPr>
      <w:rFonts w:ascii="Arial" w:hAnsi="Arial" w:eastAsia="Arial" w:cs="Arial"/>
      <w:sz w:val="30"/>
      <w:szCs w:val="30"/>
    </w:rPr>
  </w:style>
  <w:style w:type="character" w:styleId="728">
    <w:name w:val="Heading 4 Char"/>
    <w:basedOn w:val="74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29">
    <w:name w:val="Heading 5 Char"/>
    <w:basedOn w:val="74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0">
    <w:name w:val="Heading 6 Char"/>
    <w:basedOn w:val="74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1">
    <w:name w:val="Heading 7 Char"/>
    <w:basedOn w:val="74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2">
    <w:name w:val="Heading 8 Char"/>
    <w:basedOn w:val="74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3">
    <w:name w:val="Heading 9 Char"/>
    <w:basedOn w:val="74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4">
    <w:name w:val="Title Char"/>
    <w:basedOn w:val="747"/>
    <w:uiPriority w:val="10"/>
    <w:qFormat/>
    <w:rPr>
      <w:sz w:val="48"/>
      <w:szCs w:val="48"/>
    </w:rPr>
  </w:style>
  <w:style w:type="character" w:styleId="735">
    <w:name w:val="Subtitle Char"/>
    <w:basedOn w:val="747"/>
    <w:uiPriority w:val="11"/>
    <w:qFormat/>
    <w:rPr>
      <w:sz w:val="24"/>
      <w:szCs w:val="24"/>
    </w:rPr>
  </w:style>
  <w:style w:type="character" w:styleId="736">
    <w:name w:val="Quote Char"/>
    <w:uiPriority w:val="29"/>
    <w:qFormat/>
    <w:rPr>
      <w:i/>
    </w:rPr>
  </w:style>
  <w:style w:type="character" w:styleId="737">
    <w:name w:val="Intense Quote Char"/>
    <w:uiPriority w:val="30"/>
    <w:qFormat/>
    <w:rPr>
      <w:i/>
    </w:rPr>
  </w:style>
  <w:style w:type="character" w:styleId="738">
    <w:name w:val="Header Char"/>
    <w:basedOn w:val="747"/>
    <w:uiPriority w:val="99"/>
    <w:qFormat/>
  </w:style>
  <w:style w:type="character" w:styleId="739">
    <w:name w:val="Footer Char"/>
    <w:basedOn w:val="747"/>
    <w:uiPriority w:val="99"/>
    <w:qFormat/>
  </w:style>
  <w:style w:type="character" w:styleId="740">
    <w:name w:val="Caption Char"/>
    <w:uiPriority w:val="99"/>
    <w:qFormat/>
  </w:style>
  <w:style w:type="character" w:styleId="741">
    <w:name w:val="Footnote Text Char"/>
    <w:uiPriority w:val="99"/>
    <w:qFormat/>
    <w:rPr>
      <w:sz w:val="18"/>
    </w:rPr>
  </w:style>
  <w:style w:type="character" w:styleId="742">
    <w:name w:val="Footnote Characters"/>
    <w:uiPriority w:val="99"/>
    <w:unhideWhenUsed/>
    <w:qFormat/>
    <w:rPr>
      <w:vertAlign w:val="superscript"/>
    </w:rPr>
  </w:style>
  <w:style w:type="character" w:styleId="743">
    <w:name w:val="footnote reference"/>
    <w:rPr>
      <w:vertAlign w:val="superscript"/>
    </w:rPr>
  </w:style>
  <w:style w:type="character" w:styleId="744">
    <w:name w:val="Endnote Text Char"/>
    <w:uiPriority w:val="99"/>
    <w:qFormat/>
    <w:rPr>
      <w:sz w:val="20"/>
    </w:rPr>
  </w:style>
  <w:style w:type="character" w:styleId="745">
    <w:name w:val="Endnote Characters"/>
    <w:uiPriority w:val="99"/>
    <w:semiHidden/>
    <w:unhideWhenUsed/>
    <w:qFormat/>
    <w:rPr>
      <w:vertAlign w:val="superscript"/>
    </w:rPr>
  </w:style>
  <w:style w:type="character" w:styleId="746">
    <w:name w:val="endnote reference"/>
    <w:rPr>
      <w:vertAlign w:val="superscript"/>
    </w:rPr>
  </w:style>
  <w:style w:type="character" w:styleId="747" w:default="1">
    <w:name w:val="Default Paragraph Font"/>
    <w:uiPriority w:val="1"/>
    <w:semiHidden/>
    <w:unhideWhenUsed/>
    <w:qFormat/>
  </w:style>
  <w:style w:type="character" w:styleId="748">
    <w:name w:val="Hyperlink"/>
    <w:basedOn w:val="747"/>
    <w:uiPriority w:val="99"/>
    <w:unhideWhenUsed/>
    <w:rPr>
      <w:color w:val="0563c1" w:themeColor="hyperlink"/>
      <w:u w:val="single"/>
    </w:rPr>
  </w:style>
  <w:style w:type="character" w:styleId="749" w:customStyle="1">
    <w:name w:val="Гипертекстовая ссылка"/>
    <w:basedOn w:val="747"/>
    <w:uiPriority w:val="99"/>
    <w:qFormat/>
    <w:rPr>
      <w:b/>
      <w:bCs/>
      <w:color w:val="106bbe"/>
    </w:rPr>
  </w:style>
  <w:style w:type="character" w:styleId="750">
    <w:name w:val="FollowedHyperlink"/>
    <w:basedOn w:val="747"/>
    <w:uiPriority w:val="99"/>
    <w:semiHidden/>
    <w:unhideWhenUsed/>
    <w:rPr>
      <w:color w:val="800080"/>
      <w:u w:val="single"/>
    </w:rPr>
  </w:style>
  <w:style w:type="character" w:styleId="751" w:customStyle="1">
    <w:name w:val="Верхний колонтитул Знак"/>
    <w:basedOn w:val="747"/>
    <w:uiPriority w:val="99"/>
    <w:qFormat/>
  </w:style>
  <w:style w:type="character" w:styleId="752" w:customStyle="1">
    <w:name w:val="Нижний колонтитул Знак"/>
    <w:basedOn w:val="747"/>
    <w:uiPriority w:val="99"/>
    <w:qFormat/>
  </w:style>
  <w:style w:type="character" w:styleId="753" w:customStyle="1">
    <w:name w:val="Текст выноски Знак"/>
    <w:basedOn w:val="747"/>
    <w:uiPriority w:val="99"/>
    <w:semiHidden/>
    <w:qFormat/>
    <w:rPr>
      <w:rFonts w:ascii="Tahoma" w:hAnsi="Tahoma" w:cs="Tahoma"/>
      <w:sz w:val="16"/>
      <w:szCs w:val="16"/>
    </w:rPr>
  </w:style>
  <w:style w:type="paragraph" w:styleId="754">
    <w:name w:val="Heading"/>
    <w:basedOn w:val="715"/>
    <w:next w:val="75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55">
    <w:name w:val="Body Text"/>
    <w:basedOn w:val="715"/>
    <w:pPr>
      <w:spacing w:before="0" w:after="140" w:line="276" w:lineRule="auto"/>
    </w:pPr>
  </w:style>
  <w:style w:type="paragraph" w:styleId="756">
    <w:name w:val="List"/>
    <w:basedOn w:val="755"/>
    <w:rPr>
      <w:rFonts w:cs="Mangal"/>
    </w:rPr>
  </w:style>
  <w:style w:type="paragraph" w:styleId="757">
    <w:name w:val="Caption"/>
    <w:basedOn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58">
    <w:name w:val="Index"/>
    <w:basedOn w:val="715"/>
    <w:qFormat/>
    <w:pPr>
      <w:suppressLineNumbers/>
    </w:pPr>
    <w:rPr>
      <w:rFonts w:cs="Mangal"/>
    </w:rPr>
  </w:style>
  <w:style w:type="paragraph" w:styleId="759">
    <w:name w:val="Title"/>
    <w:basedOn w:val="71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60">
    <w:name w:val="Subtitle"/>
    <w:basedOn w:val="715"/>
    <w:uiPriority w:val="11"/>
    <w:qFormat/>
    <w:pPr>
      <w:spacing w:before="200" w:after="200"/>
    </w:pPr>
    <w:rPr>
      <w:sz w:val="24"/>
      <w:szCs w:val="24"/>
    </w:rPr>
  </w:style>
  <w:style w:type="paragraph" w:styleId="761">
    <w:name w:val="Quote"/>
    <w:basedOn w:val="715"/>
    <w:uiPriority w:val="29"/>
    <w:qFormat/>
    <w:pPr>
      <w:ind w:left="720" w:right="720"/>
    </w:pPr>
    <w:rPr>
      <w:i/>
    </w:rPr>
  </w:style>
  <w:style w:type="paragraph" w:styleId="762">
    <w:name w:val="Intense Quote"/>
    <w:basedOn w:val="715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3">
    <w:name w:val="footnote text"/>
    <w:basedOn w:val="71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64">
    <w:name w:val="endnote text"/>
    <w:basedOn w:val="71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65">
    <w:name w:val="toc 1"/>
    <w:basedOn w:val="715"/>
    <w:uiPriority w:val="39"/>
    <w:unhideWhenUsed/>
    <w:pPr>
      <w:ind w:left="0" w:right="0" w:firstLine="0"/>
      <w:spacing w:before="0" w:after="57"/>
    </w:pPr>
  </w:style>
  <w:style w:type="paragraph" w:styleId="766">
    <w:name w:val="toc 2"/>
    <w:basedOn w:val="715"/>
    <w:uiPriority w:val="39"/>
    <w:unhideWhenUsed/>
    <w:pPr>
      <w:ind w:left="283" w:right="0" w:firstLine="0"/>
      <w:spacing w:before="0" w:after="57"/>
    </w:pPr>
  </w:style>
  <w:style w:type="paragraph" w:styleId="767">
    <w:name w:val="toc 3"/>
    <w:basedOn w:val="715"/>
    <w:uiPriority w:val="39"/>
    <w:unhideWhenUsed/>
    <w:pPr>
      <w:ind w:left="567" w:right="0" w:firstLine="0"/>
      <w:spacing w:before="0" w:after="57"/>
    </w:pPr>
  </w:style>
  <w:style w:type="paragraph" w:styleId="768">
    <w:name w:val="toc 4"/>
    <w:basedOn w:val="715"/>
    <w:uiPriority w:val="39"/>
    <w:unhideWhenUsed/>
    <w:pPr>
      <w:ind w:left="850" w:right="0" w:firstLine="0"/>
      <w:spacing w:before="0" w:after="57"/>
    </w:pPr>
  </w:style>
  <w:style w:type="paragraph" w:styleId="769">
    <w:name w:val="toc 5"/>
    <w:basedOn w:val="715"/>
    <w:uiPriority w:val="39"/>
    <w:unhideWhenUsed/>
    <w:pPr>
      <w:ind w:left="1134" w:right="0" w:firstLine="0"/>
      <w:spacing w:before="0" w:after="57"/>
    </w:pPr>
  </w:style>
  <w:style w:type="paragraph" w:styleId="770">
    <w:name w:val="toc 6"/>
    <w:basedOn w:val="715"/>
    <w:uiPriority w:val="39"/>
    <w:unhideWhenUsed/>
    <w:pPr>
      <w:ind w:left="1417" w:right="0" w:firstLine="0"/>
      <w:spacing w:before="0" w:after="57"/>
    </w:pPr>
  </w:style>
  <w:style w:type="paragraph" w:styleId="771">
    <w:name w:val="toc 7"/>
    <w:basedOn w:val="715"/>
    <w:uiPriority w:val="39"/>
    <w:unhideWhenUsed/>
    <w:pPr>
      <w:ind w:left="1701" w:right="0" w:firstLine="0"/>
      <w:spacing w:before="0" w:after="57"/>
    </w:pPr>
  </w:style>
  <w:style w:type="paragraph" w:styleId="772">
    <w:name w:val="toc 8"/>
    <w:basedOn w:val="715"/>
    <w:uiPriority w:val="39"/>
    <w:unhideWhenUsed/>
    <w:pPr>
      <w:ind w:left="1984" w:right="0" w:firstLine="0"/>
      <w:spacing w:before="0" w:after="57"/>
    </w:pPr>
  </w:style>
  <w:style w:type="paragraph" w:styleId="773">
    <w:name w:val="toc 9"/>
    <w:basedOn w:val="715"/>
    <w:uiPriority w:val="39"/>
    <w:unhideWhenUsed/>
    <w:pPr>
      <w:ind w:left="2268" w:right="0" w:firstLine="0"/>
      <w:spacing w:before="0" w:after="57"/>
    </w:pPr>
  </w:style>
  <w:style w:type="paragraph" w:styleId="774">
    <w:name w:val="Index Heading"/>
    <w:basedOn w:val="754"/>
  </w:style>
  <w:style w:type="paragraph" w:styleId="775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76">
    <w:name w:val="table of figures"/>
    <w:basedOn w:val="715"/>
    <w:uiPriority w:val="99"/>
    <w:unhideWhenUsed/>
    <w:pPr>
      <w:spacing w:before="0" w:after="0" w:afterAutospacing="0"/>
    </w:pPr>
  </w:style>
  <w:style w:type="paragraph" w:styleId="777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Times New Roman" w:cs="Arial" w:cstheme="minorBidi"/>
      <w:color w:val="auto"/>
      <w:sz w:val="24"/>
      <w:szCs w:val="24"/>
      <w:lang w:val="ru-RU" w:eastAsia="ru-RU" w:bidi="ar-SA"/>
    </w:rPr>
  </w:style>
  <w:style w:type="paragraph" w:styleId="778" w:customStyle="1">
    <w:name w:val="xl63"/>
    <w:basedOn w:val="715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79" w:customStyle="1">
    <w:name w:val="xl65"/>
    <w:basedOn w:val="715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80" w:customStyle="1">
    <w:name w:val="xl64"/>
    <w:basedOn w:val="715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81" w:customStyle="1">
    <w:name w:val="xl66"/>
    <w:basedOn w:val="715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82" w:customStyle="1">
    <w:name w:val="xl67"/>
    <w:basedOn w:val="715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3" w:customStyle="1">
    <w:name w:val="xl68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84" w:customStyle="1">
    <w:name w:val="xl69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85" w:customStyle="1">
    <w:name w:val="xl70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86" w:customStyle="1">
    <w:name w:val="xl71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87" w:customStyle="1">
    <w:name w:val="xl72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88" w:customStyle="1">
    <w:name w:val="xl73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89" w:customStyle="1">
    <w:name w:val="xl74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90" w:customStyle="1">
    <w:name w:val="xl75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1" w:customStyle="1">
    <w:name w:val="xl76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2" w:customStyle="1">
    <w:name w:val="xl77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793" w:customStyle="1">
    <w:name w:val="xl78"/>
    <w:basedOn w:val="715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794">
    <w:name w:val="List Paragraph"/>
    <w:basedOn w:val="715"/>
    <w:uiPriority w:val="34"/>
    <w:qFormat/>
    <w:pPr>
      <w:contextualSpacing/>
      <w:ind w:left="720"/>
      <w:spacing w:before="0" w:after="160"/>
    </w:pPr>
  </w:style>
  <w:style w:type="paragraph" w:styleId="795">
    <w:name w:val="Header and Footer"/>
    <w:basedOn w:val="715"/>
    <w:qFormat/>
  </w:style>
  <w:style w:type="paragraph" w:styleId="796">
    <w:name w:val="Header"/>
    <w:basedOn w:val="715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97">
    <w:name w:val="Footer"/>
    <w:basedOn w:val="715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98">
    <w:name w:val="Balloon Text"/>
    <w:basedOn w:val="715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numbering" w:styleId="799" w:default="1">
    <w:name w:val="No List"/>
    <w:uiPriority w:val="99"/>
    <w:semiHidden/>
    <w:unhideWhenUsed/>
    <w:qFormat/>
  </w:style>
  <w:style w:type="table" w:styleId="51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http://www.mjkh.nso.ru/page/724." TargetMode="External"/><Relationship Id="rId17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18" Type="http://schemas.openxmlformats.org/officeDocument/2006/relationships/hyperlink" Target="consultantplus://offline/ref=A2283303C7D254AD7348380E740FF25A10E2ED22CEB7A37225481EC656EC239C45C4E1787FF2A849uEg7B" TargetMode="External"/><Relationship Id="rId19" Type="http://schemas.openxmlformats.org/officeDocument/2006/relationships/hyperlink" Target="consultantplus://offline/ref=ED0885B7CA7D9EA78E3F0C8B65A29D940715C18072FB617C8CE278D6AA9E98DFDD6864CFD41AE8EB3B595BB11EIDZF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53A-9C28-4033-9F19-BC5075A1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dc:description/>
  <dc:language>ru-RU</dc:language>
  <cp:revision>93</cp:revision>
  <dcterms:created xsi:type="dcterms:W3CDTF">2021-11-15T02:28:00Z</dcterms:created>
  <dcterms:modified xsi:type="dcterms:W3CDTF">2026-04-09T04:46:56Z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